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3" w:rsidRPr="003A15C3" w:rsidRDefault="003A15C3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МИНИСТЕРСТВО ЗДРАВООХРАНЕНИЯ РОССИЙСКОЙ ФЕДЕРАЦИИ</w:t>
      </w: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N 31-1/И/2-1961</w:t>
      </w: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ФЕДЕРАЛЬНЫЙ ФОНД ОБЯЗАТЕЛЬНОГО МЕДИЦИНСКОГО СТРАХОВАНИЯ</w:t>
      </w: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N 00-10-26-1-06/1966</w:t>
      </w: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ПИСЬМО</w:t>
      </w:r>
    </w:p>
    <w:p w:rsidR="003A15C3" w:rsidRPr="003A15C3" w:rsidRDefault="003A15C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от 5 февраля 2024 года</w:t>
      </w:r>
    </w:p>
    <w:p w:rsidR="003A15C3" w:rsidRPr="003A15C3" w:rsidRDefault="003A15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A15C3" w:rsidRPr="003A15C3" w:rsidRDefault="003A15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Министерство здравоохранения Российской Федерации и Федеральный фонд обязательного медицинского страхования в связи с поступающими от участников обязательного медицинского страхования запросами в части изменения источника финансирования финансовой аренды объектов (лизинг), а также выкупа предмета лизинга, сообщает следующее.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 июня 2012 г. N 608,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обязательного медицинского страхования.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В соответствии с Уставом Федерального фонда обязательного медицинского страхования, утвержденным постановлением Правительства Российской Федерации от 29 июля 1998 г. N 857, Федеральный фонд обязательного медицинского страхования (далее - Фонд) реализует государственную политику в области обязательного медицинского страхования граждан как составной части государственного социального страхования.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Минздравом России и Фондом не осуществляется разъяснение законодательства Российской Федерации, если иное прямо не предусмотрено нормативными правовыми актами, а также не осуществляется разъяснение практики применения законодательства Российской Федерации и рассмотрение по существу обращений по оценке конкретных хозяйственных ситуаций.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Вместе с тем в рамках установленной компетенции полагаем возможным сообщить следующее.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В соответствии с подпунктом 3 пункта 195 Правил обязательного медицинского страхования, утвержденных Приказом Минздрава России от 28 февраля 2019 г. N 108н (далее соответственно - Приказ N 108н, Правила, утвержденные Приказом N 108н), в составе затрат, необходимых для обеспечения деятельности медицинской организации в целом, выделяются в том числе затраты на содержание объектов движимого имущества.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В соответствии с подпунктом 6 пункта 204 Правил в редакции приказа Министерства здравоохранения Российской Федерации от 13 декабря 2022 г. N 789н 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108н" (далее - Приказ N 789н) детализация групп затрат на содержание объектов движимого имущества предусматривает в том числе затраты на арендую плату, в том числе на финансовую аренду объектов (лизинг), а также выкуп предмета лизинга в соответствии со статьей 624 Гражданского кодекса Российской Федерации,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лизинга. В случае наличия у медицинской организации просроченной кредиторской задолженности в течение трех месяцев, расходы на финансовую аренду объектов (лизинг) или приобретение предмета лизинга включаются в размере, не превышающем ста тысяч рублей.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Приказ N 789н вступил в силу 10 января 2023 г. и, поскольку иное прямо не предусмотрено Приказом N 789н, применяется к отношениям, возникшим после его вступления в силу.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 xml:space="preserve">Введенное Приказом N 789н ограничение платежа за один объект лизинга применяется в отношении соответствующих платежей, осуществляемых по договорам финансовой аренды (лизинга), заключенным после вступления в силу Приказа N 789н, за исключением договоров финансовой аренды (лизинга), заключенных после вступления в силу Приказа N 789н по результатам проведенной конкурентной процедуры закупки, объявленной в соответствии с требованиями Федерального закона от 05.04.2013 N 44-ФЗ "О контрактной системе в сфере </w:t>
      </w:r>
      <w:r w:rsidRPr="003A15C3">
        <w:rPr>
          <w:rFonts w:ascii="Times New Roman" w:hAnsi="Times New Roman" w:cs="Times New Roman"/>
          <w:color w:val="000000" w:themeColor="text1"/>
        </w:rPr>
        <w:lastRenderedPageBreak/>
        <w:t>закупок товаров, работ, услуг для обеспечения государственных и муниципальных нужд" до вступления в силу Приказа N 789н.</w:t>
      </w:r>
    </w:p>
    <w:p w:rsidR="003A15C3" w:rsidRPr="003A15C3" w:rsidRDefault="003A15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15C3">
        <w:rPr>
          <w:rFonts w:ascii="Times New Roman" w:hAnsi="Times New Roman" w:cs="Times New Roman"/>
          <w:color w:val="000000" w:themeColor="text1"/>
        </w:rPr>
        <w:t>При этом изменения, внесенные в пункт 204 Правил, утвержденных Приказом N 108н, не затрагивают структуру тарифа на оплату медицинской помощи, утвержденную частью 7 статьи 35 Федерального закона от 29 ноября 2010 г. N 326-ФЗ "Об обязательном медицинском страховании в Российской Федерации", вместе с тем обеспечивают гармонизацию правового регулирования использования средств обязательного медицинского страхования для покрытия расходов на финансовую аренду (лизинг), способствуют финансовой устойчивости медицинских организаций за счет ликвидации диспропорций по статьям затрат, учитываемых в структуре тарифа в части снижения высокой доли расходов на арендную плату за пользование имуществом в отдельных медицинских организациях.</w:t>
      </w:r>
    </w:p>
    <w:p w:rsidR="003A15C3" w:rsidRPr="003A15C3" w:rsidRDefault="003A15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Первый заместитель</w:t>
      </w: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Министра здравоохранения</w:t>
      </w: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Российской Федерации</w:t>
      </w: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В.А.ЗЕЛЕНСКИЙ</w:t>
      </w: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Председатель Федерального фонда</w:t>
      </w: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обязательного медицинского страхования</w:t>
      </w:r>
    </w:p>
    <w:p w:rsidR="003A15C3" w:rsidRPr="003A15C3" w:rsidRDefault="003A15C3">
      <w:pPr>
        <w:pStyle w:val="ConsPlusNormal"/>
        <w:jc w:val="right"/>
        <w:rPr>
          <w:rFonts w:ascii="Times New Roman" w:hAnsi="Times New Roman" w:cs="Times New Roman"/>
        </w:rPr>
      </w:pPr>
      <w:r w:rsidRPr="003A15C3">
        <w:rPr>
          <w:rFonts w:ascii="Times New Roman" w:hAnsi="Times New Roman" w:cs="Times New Roman"/>
        </w:rPr>
        <w:t>И.В.БАЛАНИН</w:t>
      </w:r>
    </w:p>
    <w:p w:rsidR="003A15C3" w:rsidRPr="003A15C3" w:rsidRDefault="003A15C3">
      <w:pPr>
        <w:pStyle w:val="ConsPlusNormal"/>
        <w:jc w:val="both"/>
        <w:rPr>
          <w:rFonts w:ascii="Times New Roman" w:hAnsi="Times New Roman" w:cs="Times New Roman"/>
        </w:rPr>
      </w:pPr>
    </w:p>
    <w:p w:rsidR="003A15C3" w:rsidRPr="003A15C3" w:rsidRDefault="003A15C3">
      <w:pPr>
        <w:pStyle w:val="ConsPlusNormal"/>
        <w:jc w:val="both"/>
        <w:rPr>
          <w:rFonts w:ascii="Times New Roman" w:hAnsi="Times New Roman" w:cs="Times New Roman"/>
        </w:rPr>
      </w:pPr>
    </w:p>
    <w:p w:rsidR="003A15C3" w:rsidRPr="003A15C3" w:rsidRDefault="003A15C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30999" w:rsidRDefault="00930999"/>
    <w:sectPr w:rsidR="00930999" w:rsidSect="00F9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3"/>
    <w:rsid w:val="003A15C3"/>
    <w:rsid w:val="004553C4"/>
    <w:rsid w:val="009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2</cp:revision>
  <dcterms:created xsi:type="dcterms:W3CDTF">2024-03-21T06:57:00Z</dcterms:created>
  <dcterms:modified xsi:type="dcterms:W3CDTF">2024-05-31T12:30:00Z</dcterms:modified>
</cp:coreProperties>
</file>